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1E" w:rsidRDefault="00A70E1E" w:rsidP="00FA31B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A70E1E" w:rsidRDefault="00A70E1E" w:rsidP="00A70E1E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Бекітемін</w:t>
      </w:r>
    </w:p>
    <w:p w:rsidR="00A70E1E" w:rsidRDefault="00A70E1E" w:rsidP="00A70E1E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ШЖҚ «Райымбек аудандық ауруханасы» КМК</w:t>
      </w:r>
    </w:p>
    <w:p w:rsidR="00A70E1E" w:rsidRDefault="00A70E1E" w:rsidP="00A70E1E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директоры</w:t>
      </w:r>
    </w:p>
    <w:p w:rsidR="00A70E1E" w:rsidRDefault="00A70E1E" w:rsidP="00A70E1E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 xml:space="preserve">Куккузов Р.Е. </w:t>
      </w:r>
      <w:r>
        <w:rPr>
          <w:rFonts w:ascii="Times New Roman" w:hAnsi="Times New Roman"/>
          <w:b/>
          <w:bCs/>
          <w:color w:val="1E1E1E"/>
        </w:rPr>
        <w:t>_______________</w:t>
      </w:r>
      <w:r>
        <w:rPr>
          <w:rFonts w:ascii="Times New Roman" w:hAnsi="Times New Roman"/>
          <w:b/>
          <w:bCs/>
          <w:color w:val="1E1E1E"/>
          <w:lang w:val="kk-KZ"/>
        </w:rPr>
        <w:t xml:space="preserve"> </w:t>
      </w:r>
    </w:p>
    <w:p w:rsidR="00A70E1E" w:rsidRDefault="00A70E1E" w:rsidP="00A70E1E">
      <w:pPr>
        <w:ind w:left="851"/>
        <w:jc w:val="right"/>
        <w:rPr>
          <w:rFonts w:ascii="Calibri" w:eastAsiaTheme="minorHAnsi" w:hAnsi="Calibri"/>
          <w:b/>
          <w:color w:val="auto"/>
          <w:lang w:val="kk-KZ" w:eastAsia="en-US"/>
        </w:rPr>
      </w:pPr>
      <w:r>
        <w:rPr>
          <w:rFonts w:ascii="Times New Roman" w:hAnsi="Times New Roman"/>
          <w:b/>
        </w:rPr>
        <w:t>«___»___________2024 ж</w:t>
      </w:r>
      <w:r>
        <w:rPr>
          <w:b/>
        </w:rPr>
        <w:t>.</w:t>
      </w:r>
      <w:r>
        <w:rPr>
          <w:b/>
          <w:lang w:val="kk-KZ"/>
        </w:rPr>
        <w:t xml:space="preserve"> </w:t>
      </w:r>
    </w:p>
    <w:p w:rsidR="00A70E1E" w:rsidRDefault="00A70E1E" w:rsidP="00A70E1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6D50A5" w:rsidRDefault="006D50A5" w:rsidP="00A70E1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FA31B1">
        <w:rPr>
          <w:rFonts w:ascii="Times New Roman" w:hAnsi="Times New Roman" w:cs="Times New Roman"/>
          <w:b/>
          <w:bCs/>
          <w:sz w:val="20"/>
          <w:szCs w:val="20"/>
        </w:rPr>
        <w:t>Техникалы</w:t>
      </w:r>
      <w:proofErr w:type="spellEnd"/>
      <w:r w:rsidRPr="00FA31B1">
        <w:rPr>
          <w:rFonts w:ascii="Times New Roman" w:hAnsi="Times New Roman" w:cs="Times New Roman"/>
          <w:b/>
          <w:bCs/>
          <w:sz w:val="20"/>
          <w:szCs w:val="20"/>
          <w:lang w:val="kk-KZ"/>
        </w:rPr>
        <w:t>қ сипаттама</w:t>
      </w:r>
    </w:p>
    <w:p w:rsidR="00A70E1E" w:rsidRPr="00FA31B1" w:rsidRDefault="00A70E1E" w:rsidP="00A70E1E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51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2"/>
        <w:gridCol w:w="567"/>
        <w:gridCol w:w="2971"/>
        <w:gridCol w:w="4677"/>
        <w:gridCol w:w="1706"/>
      </w:tblGrid>
      <w:tr w:rsidR="006D50A5" w:rsidRPr="00FA31B1" w:rsidTr="006D50A5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Сипаттама</w:t>
            </w:r>
          </w:p>
        </w:tc>
      </w:tr>
      <w:tr w:rsidR="006D50A5" w:rsidRPr="00FA31B1" w:rsidTr="006D50A5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5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Медициналық құрал-жабдықтардың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атауы</w:t>
            </w:r>
            <w:proofErr w:type="spellEnd"/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Плазмалық жібітулер кіреді</w:t>
            </w:r>
          </w:p>
          <w:p w:rsidR="006D50A5" w:rsidRPr="00FA31B1" w:rsidRDefault="006D50A5" w:rsidP="00FA3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6D50A5" w:rsidRPr="00FA31B1" w:rsidTr="006D50A5">
        <w:trPr>
          <w:trHeight w:val="611"/>
          <w:jc w:val="right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val="kk-KZ"/>
              </w:rPr>
              <w:t>Құрал-жабдықтарға қойылатын талаптар</w:t>
            </w:r>
          </w:p>
          <w:p w:rsidR="006D50A5" w:rsidRPr="00553A9D" w:rsidRDefault="006D50A5" w:rsidP="00FA31B1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№</w:t>
            </w:r>
          </w:p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A31B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A31B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A31B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i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i/>
                <w:color w:val="1F1F1F"/>
                <w:lang w:val="kk-KZ"/>
              </w:rPr>
              <w:t>Медициналық жабдықтың құрамдас бөлігінің атауы</w:t>
            </w:r>
          </w:p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i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i/>
                <w:color w:val="1F1F1F"/>
                <w:lang w:val="kk-KZ"/>
              </w:rPr>
              <w:t>Медициналық техниканың құрамдас бөліктерінің техникалық сипаттамалары</w:t>
            </w:r>
          </w:p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A31B1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 xml:space="preserve">Қажетті мөлшер (өлшем </w:t>
            </w:r>
            <w:proofErr w:type="spellStart"/>
            <w:r w:rsidRPr="00FA31B1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бірлігін</w:t>
            </w:r>
            <w:proofErr w:type="spellEnd"/>
            <w:r w:rsidRPr="00FA31B1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 xml:space="preserve"> көрсете </w:t>
            </w:r>
            <w:proofErr w:type="spellStart"/>
            <w:r w:rsidRPr="00FA31B1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отырып</w:t>
            </w:r>
            <w:proofErr w:type="spellEnd"/>
            <w:r w:rsidRPr="00FA31B1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)</w:t>
            </w:r>
          </w:p>
        </w:tc>
      </w:tr>
      <w:tr w:rsidR="006D50A5" w:rsidRPr="00FA31B1" w:rsidTr="006D50A5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553A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Негізгі компоненттер:</w:t>
            </w:r>
          </w:p>
        </w:tc>
      </w:tr>
      <w:tr w:rsidR="006D50A5" w:rsidRPr="00FA31B1" w:rsidTr="006D50A5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5" w:rsidRPr="00FA31B1" w:rsidRDefault="006D50A5" w:rsidP="00FA31B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553A9D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Плазмалық жібіту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6D50A5" w:rsidRDefault="006D50A5" w:rsidP="00FA31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Міне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берілген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сипаттама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бойынша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құрылғының техникалық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талаптары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Сухая </w:t>
            </w:r>
            <w:proofErr w:type="spell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разморозка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Плазманың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пакетімен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су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байланысы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жоқ, тек қатты күйде бар.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Технология размораживания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Герметикалық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пакетпен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жылу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тасымалдағыш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затпен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жұмыс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істеу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ашық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бар ваннаның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болмауы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Максимальная загрузка установки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Қондырғының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бі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уақытта жүктелетін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максималды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көлемі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1000 мл.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Максимальный объем пакетов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Бі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пакеттегі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мұздатылған плазманың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максималды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көлемі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1000 мл.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Стандартная рабочая температура теплоносителя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Жылу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тасымалдағыштың жұмыс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температурасы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37°C-тан 38°C-қа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дейін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Режим </w:t>
            </w:r>
            <w:proofErr w:type="gram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ускоренной</w:t>
            </w:r>
            <w:proofErr w:type="gramEnd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разморозки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Плазманы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тезірек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еріту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режимі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бар.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Время выхода на рабочую температуру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Жылу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тасымалдағыштың 37°C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температурасына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жету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уақыты қалыпты климаттық жағдайда 15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минуттан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керек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Время </w:t>
            </w:r>
            <w:proofErr w:type="spell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разморозки</w:t>
            </w:r>
            <w:proofErr w:type="spellEnd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пакета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250 мл жаңа мұздатылған плазманың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еріту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уақыты 20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минуттан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Функция бережного перемешивания плазмы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Плазманы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жұмсақ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араластыру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функциясы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бар.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Автоматическое отключение нагрева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Белгіленген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температураны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асырған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кезде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жылудың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автоматты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түрде өші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ілуі.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Время непрерывной работы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Қондырғының үздіксіз жұмыс уақыты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24 сағат.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Максимальная потребляемая мощность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Қондырғының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максималды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қуат тұтынуы 500 Вт-тан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Объем теплоносителя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Жылу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тасымалдағыштың көлемі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литр.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Свето-звуковая</w:t>
            </w:r>
            <w:proofErr w:type="spellEnd"/>
            <w:proofErr w:type="gramEnd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сигнализация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Құрылғының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еріту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процесінің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басталу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мен аяқталуы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кезінде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жарық және дыбыстық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сигнализациясы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керек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Датчик протечки жидкости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Сұйықтық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ң ағуын анықтайтын сенсордың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Свето-звуковая</w:t>
            </w:r>
            <w:proofErr w:type="spellEnd"/>
            <w:proofErr w:type="gramEnd"/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сигнализация при аварийных ситуациях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Төтенше жағдайлар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кезінде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жарық және дыбыстық сигнализация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Габаритные размеры установки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Қондырғының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габариттері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250х500х150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мм-ден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6D50A5" w:rsidRDefault="006D50A5" w:rsidP="00FA31B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31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Масса установки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Қондырғының салмағы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жылу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тасымалдағышсыз 4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кг-нан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аспауы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50A5" w:rsidRPr="00FA31B1" w:rsidRDefault="006D50A5" w:rsidP="00FA31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Бұл техникалық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талаптар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плазманы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қауіпсіз жә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імді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түрде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еріту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үшін құрылғыдан күтілетін мүмкіндіктерді көрсетеді.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553A9D" w:rsidP="00FA31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дана</w:t>
            </w:r>
            <w:r w:rsidR="006D50A5"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6D50A5" w:rsidRPr="00FA31B1" w:rsidTr="006D50A5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Шығын материалдары мен тозу бөлшектері: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6D50A5" w:rsidRPr="00FA31B1" w:rsidTr="006D50A5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5" w:rsidRPr="00FA31B1" w:rsidRDefault="006D50A5" w:rsidP="00FA31B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Желілік кабель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Желілік кабель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553A9D" w:rsidP="00FA31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дана</w:t>
            </w:r>
            <w:r w:rsidR="006D50A5"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6D50A5" w:rsidRPr="00FA31B1" w:rsidTr="006D50A5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5" w:rsidRPr="00FA31B1" w:rsidRDefault="006D50A5" w:rsidP="00FA31B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Жылу алмастырғыш пакеті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Жылу алмастырғыш пакеті</w:t>
            </w:r>
          </w:p>
          <w:p w:rsidR="006D50A5" w:rsidRPr="00FA31B1" w:rsidRDefault="006D50A5" w:rsidP="00FA31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553A9D" w:rsidP="00FA31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дана</w:t>
            </w:r>
            <w:r w:rsidR="006D50A5"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6D50A5" w:rsidRPr="00FA31B1" w:rsidTr="006D50A5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Жұмыс жағдайларына қойылатын талаптар</w:t>
            </w:r>
          </w:p>
          <w:p w:rsidR="006D50A5" w:rsidRPr="00553A9D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A31B1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Қоректендіру желісі жерге тұйықталған және тұрақты және үздіксіз қоректену кернеуіне (220 вольт) ие болуы керек.</w:t>
            </w:r>
          </w:p>
          <w:p w:rsidR="006D50A5" w:rsidRPr="00FA31B1" w:rsidRDefault="006D50A5" w:rsidP="00FA31B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подключения оборудования требуется розетка с 3-х проводной схемой электропитания: фаза,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нейтраль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заземление.  Напряжение питания 220 Вольт, 20A, частота питания 50 Гц.</w:t>
            </w:r>
          </w:p>
          <w:p w:rsidR="006D50A5" w:rsidRPr="00FA31B1" w:rsidRDefault="006D50A5" w:rsidP="00FA31B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Оборудование с большой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электро-потребностью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 должны подключаться на одну линию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медицинской техники/изделия.</w:t>
            </w:r>
          </w:p>
          <w:p w:rsidR="006D50A5" w:rsidRPr="00FA31B1" w:rsidRDefault="006D50A5" w:rsidP="00FA31B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6D50A5" w:rsidRPr="00FA31B1" w:rsidRDefault="006D50A5" w:rsidP="00FA31B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Рекомендуемый диапазон температуры в помещении: +18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°С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÷ +22◦С. Относительная влажность - 40-60%.</w:t>
            </w:r>
          </w:p>
        </w:tc>
      </w:tr>
      <w:tr w:rsidR="006D50A5" w:rsidRPr="00FA31B1" w:rsidTr="006D50A5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Жеткізу шарттары</w:t>
            </w:r>
          </w:p>
          <w:p w:rsidR="006D50A5" w:rsidRPr="00553A9D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жабдықтар</w:t>
            </w:r>
          </w:p>
          <w:p w:rsidR="006D50A5" w:rsidRPr="00553A9D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5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553A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сәйкес </w:t>
            </w:r>
            <w:r w:rsidRPr="0055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ИНКОТЕРМС 2020)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DDP </w:t>
            </w:r>
            <w:r w:rsidRPr="00FA3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Алматы облысы Райымбек ауданы Нарынкол ауылы  Албан-Асан №1</w:t>
            </w:r>
          </w:p>
        </w:tc>
      </w:tr>
      <w:tr w:rsidR="006D50A5" w:rsidRPr="00FA31B1" w:rsidTr="006D50A5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құрал-жабдықтарды жеткізу мерзімі және</w:t>
            </w:r>
          </w:p>
          <w:p w:rsidR="006D50A5" w:rsidRPr="00553A9D" w:rsidRDefault="006D50A5" w:rsidP="00553A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орналасуы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5" w:rsidRPr="00137250" w:rsidRDefault="00137250" w:rsidP="00FA31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250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2024 жылғы 31 желтоқсаннан кешіктірмей 15 күнтізбелік күн</w:t>
            </w:r>
          </w:p>
        </w:tc>
      </w:tr>
      <w:tr w:rsidR="006D50A5" w:rsidRPr="00FA31B1" w:rsidTr="006D50A5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53A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Жеткізушінің, оның Қазақстан Республикасындағы қызмет көрсету орталықтарының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немесе</w:t>
            </w:r>
            <w:proofErr w:type="spellEnd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 үшінші құзыретті тұлғаларды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тарта</w:t>
            </w:r>
            <w:proofErr w:type="spellEnd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отырып</w:t>
            </w:r>
            <w:proofErr w:type="spellEnd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, медициналық </w:t>
            </w:r>
            <w:proofErr w:type="gram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техника</w:t>
            </w:r>
            <w:proofErr w:type="gramEnd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ға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кепілдік</w:t>
            </w:r>
            <w:proofErr w:type="spellEnd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 қызмет көрсету </w:t>
            </w:r>
            <w:proofErr w:type="spellStart"/>
            <w:r w:rsidRPr="00553A9D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шарттары</w:t>
            </w:r>
            <w:proofErr w:type="spellEnd"/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6D50A5" w:rsidRDefault="006D50A5" w:rsidP="00FA31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техникаға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кепілдік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қызмет көрсету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37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айды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құрауы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Жоспарлы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техникалық қызмет көрсету ә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тоқсанда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бір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рет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жүргізілуі қажет.</w:t>
            </w: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Техникалық қызмет көрсету жұмыстары эксплуатациялық құжаттамада көрсетілген 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талаптар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ға сәйкес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орындалып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келесі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жұмыстарды қамтуы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керек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Ресурсы таусылған құрамдас бө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іктерді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ауыстыру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техниканың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жекелеген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бө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іктерін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ауыстыру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немесе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қалпына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келтіру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техниканы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баптау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реттеу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Бұл медициналық 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ға тән жұмыстар және т.б.;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Негізгі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механизмдер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мен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тораптарды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тазалау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майлау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қажет болған жағдайда қайта жинақтау;</w:t>
            </w:r>
          </w:p>
          <w:p w:rsidR="006D50A5" w:rsidRPr="006D50A5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Техника корпусындағы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ішкі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сыртқы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беттерден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шаңды,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кірді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коррозия мен тоттың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іздерін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алып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тастау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блок-торпалы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бөлшектеп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тазалау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:rsidR="006D50A5" w:rsidRPr="00FA31B1" w:rsidRDefault="006D50A5" w:rsidP="00FA31B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Эксплуатациялық құжаттамада көрсетілген </w:t>
            </w:r>
            <w:proofErr w:type="gram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бас</w:t>
            </w:r>
            <w:proofErr w:type="gram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қа да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операциялар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нақты </w:t>
            </w:r>
            <w:proofErr w:type="spellStart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типтегі</w:t>
            </w:r>
            <w:proofErr w:type="spellEnd"/>
            <w:r w:rsidRPr="006D50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медициналық техникаға тән жұмыстар.</w:t>
            </w:r>
          </w:p>
        </w:tc>
      </w:tr>
      <w:tr w:rsidR="006D50A5" w:rsidRPr="00FA31B1" w:rsidTr="006D50A5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553A9D" w:rsidRDefault="006D50A5" w:rsidP="00FA31B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553A9D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Қатысты қызметтерге қойылатын талаптар</w:t>
            </w:r>
          </w:p>
          <w:p w:rsidR="006D50A5" w:rsidRPr="00FA31B1" w:rsidRDefault="006D50A5" w:rsidP="00FA31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A5" w:rsidRPr="00FA31B1" w:rsidRDefault="006D50A5" w:rsidP="00FA31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жиынтығы техникалық және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құжаттамасымен қамтамасыз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оның мазмұны қазақ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тілдеріне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аударылған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Тауарларды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сату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заңнамасына сәйкес жүзеге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жиынтығы әрбі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тармақ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(жиынтық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жабдықтың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) тауардың нақты техникалық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сипаттамалары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мен толық жинақтамасы көрсетіліп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сипатталады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Техникалық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сипаттамада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басқаша көрсетілмеген жағдайда,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қуаты 220 Вольт, қосымша ауыстырғыштар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трансформаторларсыз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Құрылғылармен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бірге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жеткізілетін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бағдарламалық қамтамасыз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Заказчиктің орнатылған жабдығымен үйлесімді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мамандармен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жеткізілгенде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Заказчикке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тауардың бағдарламалық қамтамасыз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етуі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қол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үшін барлық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сервис-кодтарды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1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Өлшем құралдарына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жататын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тауарлар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Республикасының өлшем құралдарының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реестріне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енгізілуі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Құрылғыны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орнатудан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40 (қырық) күн бұрын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Заказчикке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жабдықты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қосу үшін қажетті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хабарлайды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Күрделі монтаждық жұмыстарды және бөлмені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дайындауды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қажет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етпейтін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жабдықтар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есік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өткелдерінен (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80 см,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200 см) өтуі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. Жабдықты жұмыс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орнына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түсіру, қаптамасын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ашу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баптау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қосу, оның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сипаттамаларын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осы құжат пен фирманың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спецификациясына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(дәлдік, сезімталдық, өнімділік және басқа) сәйкестігін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медициналық (қолдану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оқыту) және техникалық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персоналды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қызмет көрсету деңгейі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оқыту және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құжат беру) оқыту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тарапынан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жүзеге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тиі</w:t>
            </w:r>
            <w:proofErr w:type="gram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штатта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болмаса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, өндіруші өкілдерін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A3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D50A5" w:rsidRPr="006D50A5" w:rsidRDefault="006D50A5" w:rsidP="006D50A5">
      <w:pPr>
        <w:rPr>
          <w:rFonts w:ascii="Times New Roman" w:eastAsia="Times New Roman" w:hAnsi="Times New Roman" w:cs="Times New Roman"/>
          <w:color w:val="auto"/>
        </w:rPr>
      </w:pPr>
      <w:r w:rsidRPr="006D50A5">
        <w:rPr>
          <w:rFonts w:ascii="Times New Roman" w:eastAsia="Times New Roman" w:hAnsi="Symbol" w:cs="Times New Roman"/>
          <w:color w:val="auto"/>
        </w:rPr>
        <w:lastRenderedPageBreak/>
        <w:t></w:t>
      </w:r>
      <w:r w:rsidRPr="006D50A5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Тендерлік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комиссияның төрағасы: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Емдеу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бөлімінің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- Әуелхан Е.Б. ______________;</w:t>
      </w:r>
    </w:p>
    <w:p w:rsidR="006D50A5" w:rsidRPr="006D50A5" w:rsidRDefault="006D50A5" w:rsidP="006D50A5">
      <w:pPr>
        <w:rPr>
          <w:rFonts w:ascii="Times New Roman" w:eastAsia="Times New Roman" w:hAnsi="Times New Roman" w:cs="Times New Roman"/>
          <w:color w:val="auto"/>
        </w:rPr>
      </w:pPr>
      <w:r w:rsidRPr="006D50A5">
        <w:rPr>
          <w:rFonts w:ascii="Times New Roman" w:eastAsia="Times New Roman" w:hAnsi="Symbol" w:cs="Times New Roman"/>
          <w:color w:val="auto"/>
        </w:rPr>
        <w:t></w:t>
      </w:r>
      <w:r w:rsidRPr="006D50A5">
        <w:rPr>
          <w:rFonts w:ascii="Times New Roman" w:eastAsia="Times New Roman" w:hAnsi="Times New Roman" w:cs="Times New Roman"/>
          <w:color w:val="auto"/>
        </w:rPr>
        <w:t xml:space="preserve">  Тө</w:t>
      </w:r>
      <w:proofErr w:type="gramStart"/>
      <w:r w:rsidRPr="006D50A5">
        <w:rPr>
          <w:rFonts w:ascii="Times New Roman" w:eastAsia="Times New Roman" w:hAnsi="Times New Roman" w:cs="Times New Roman"/>
          <w:color w:val="auto"/>
        </w:rPr>
        <w:t>ра</w:t>
      </w:r>
      <w:proofErr w:type="gramEnd"/>
      <w:r w:rsidRPr="006D50A5">
        <w:rPr>
          <w:rFonts w:ascii="Times New Roman" w:eastAsia="Times New Roman" w:hAnsi="Times New Roman" w:cs="Times New Roman"/>
          <w:color w:val="auto"/>
        </w:rPr>
        <w:t xml:space="preserve">ға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: Медициналық қызмет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сапасы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және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ішкі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аудит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бойынша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директор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Аубакирова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Турсынкул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D50A5">
        <w:rPr>
          <w:rFonts w:ascii="Times New Roman" w:eastAsia="Times New Roman" w:hAnsi="Times New Roman" w:cs="Times New Roman"/>
          <w:color w:val="auto"/>
        </w:rPr>
        <w:t>Бериковна</w:t>
      </w:r>
      <w:proofErr w:type="spellEnd"/>
      <w:r w:rsidRPr="006D50A5">
        <w:rPr>
          <w:rFonts w:ascii="Times New Roman" w:eastAsia="Times New Roman" w:hAnsi="Times New Roman" w:cs="Times New Roman"/>
          <w:color w:val="auto"/>
        </w:rPr>
        <w:t xml:space="preserve"> _______________;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Symbol" w:cs="Times New Roman"/>
          <w:color w:val="auto"/>
        </w:rPr>
        <w:t></w:t>
      </w:r>
      <w:r w:rsidRPr="006D50A5">
        <w:rPr>
          <w:rFonts w:ascii="Times New Roman" w:eastAsia="Times New Roman" w:hAnsi="Times New Roman" w:cs="Times New Roman"/>
          <w:color w:val="auto"/>
        </w:rPr>
        <w:t xml:space="preserve">  Комиссия </w:t>
      </w:r>
      <w:proofErr w:type="gramStart"/>
      <w:r w:rsidRPr="006D50A5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Pr="006D50A5">
        <w:rPr>
          <w:rFonts w:ascii="Times New Roman" w:eastAsia="Times New Roman" w:hAnsi="Times New Roman" w:cs="Times New Roman"/>
          <w:color w:val="auto"/>
        </w:rPr>
        <w:t xml:space="preserve">үшелері: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• Хирургия бөлімінің меңгерушісі – Таласбаев И.К. ______________;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>• Туған бөлімінің меңгерушісі – Ботбаева Н.А. ______________;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 • Реаниматолог дәрігер – Шынжырбаев Д.Г. ______________;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• Балалар бөлімінің меңгерушісі – Мамытова А.А. ______________;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• Экономист – Бейсегеримов Б.М. ______________;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• Юрист – Амангелдиев Е.А. ______________; </w:t>
      </w:r>
    </w:p>
    <w:p w:rsidR="00FA31B1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 xml:space="preserve">• Бас медбике – Исамолда А.С. ______________; </w:t>
      </w:r>
    </w:p>
    <w:p w:rsidR="006D50A5" w:rsidRPr="006D50A5" w:rsidRDefault="006D50A5" w:rsidP="006D50A5">
      <w:pPr>
        <w:rPr>
          <w:rFonts w:ascii="Times New Roman" w:eastAsia="Times New Roman" w:hAnsi="Times New Roman" w:cs="Times New Roman"/>
          <w:color w:val="auto"/>
          <w:lang w:val="kk-KZ"/>
        </w:rPr>
      </w:pPr>
      <w:r w:rsidRPr="006D50A5">
        <w:rPr>
          <w:rFonts w:ascii="Times New Roman" w:eastAsia="Times New Roman" w:hAnsi="Times New Roman" w:cs="Times New Roman"/>
          <w:color w:val="auto"/>
          <w:lang w:val="kk-KZ"/>
        </w:rPr>
        <w:t>• Бас бухгалтер – Кишибаева Н.Т. ______________;</w:t>
      </w:r>
    </w:p>
    <w:p w:rsidR="006D50A5" w:rsidRPr="00FA31B1" w:rsidRDefault="006D50A5" w:rsidP="006D50A5">
      <w:pPr>
        <w:ind w:left="142" w:firstLine="284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A31B1">
        <w:rPr>
          <w:rFonts w:ascii="Times New Roman" w:eastAsia="Times New Roman" w:hAnsi="Symbol" w:cs="Times New Roman"/>
          <w:color w:val="auto"/>
          <w:lang w:val="kk-KZ"/>
        </w:rPr>
        <w:t></w:t>
      </w:r>
      <w:r w:rsidRPr="00FA31B1">
        <w:rPr>
          <w:rFonts w:ascii="Times New Roman" w:eastAsia="Times New Roman" w:hAnsi="Times New Roman" w:cs="Times New Roman"/>
          <w:color w:val="auto"/>
          <w:lang w:val="kk-KZ"/>
        </w:rPr>
        <w:t xml:space="preserve">  Хатшы – Амангелдиев Е.А. ______________.</w:t>
      </w:r>
    </w:p>
    <w:p w:rsidR="003965B1" w:rsidRPr="00FA31B1" w:rsidRDefault="003965B1">
      <w:pPr>
        <w:rPr>
          <w:lang w:val="kk-KZ"/>
        </w:rPr>
      </w:pPr>
    </w:p>
    <w:sectPr w:rsidR="003965B1" w:rsidRPr="00FA31B1" w:rsidSect="006D50A5">
      <w:pgSz w:w="16838" w:h="11906" w:orient="landscape"/>
      <w:pgMar w:top="1134" w:right="1134" w:bottom="85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E2698"/>
    <w:multiLevelType w:val="multilevel"/>
    <w:tmpl w:val="8EDE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71FAF"/>
    <w:multiLevelType w:val="multilevel"/>
    <w:tmpl w:val="5E04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0A5"/>
    <w:rsid w:val="00137250"/>
    <w:rsid w:val="003965B1"/>
    <w:rsid w:val="00553A9D"/>
    <w:rsid w:val="006079A7"/>
    <w:rsid w:val="006A40F7"/>
    <w:rsid w:val="006D50A5"/>
    <w:rsid w:val="008A0776"/>
    <w:rsid w:val="00A70E1E"/>
    <w:rsid w:val="00B34893"/>
    <w:rsid w:val="00B964BE"/>
    <w:rsid w:val="00E34801"/>
    <w:rsid w:val="00F95667"/>
    <w:rsid w:val="00F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ой Знак"/>
    <w:link w:val="a4"/>
    <w:uiPriority w:val="1"/>
    <w:locked/>
    <w:rsid w:val="006D5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ой"/>
    <w:link w:val="a3"/>
    <w:uiPriority w:val="1"/>
    <w:qFormat/>
    <w:rsid w:val="006D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0A5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D5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50A5"/>
  </w:style>
  <w:style w:type="paragraph" w:styleId="a6">
    <w:name w:val="Normal (Web)"/>
    <w:basedOn w:val="a"/>
    <w:uiPriority w:val="99"/>
    <w:semiHidden/>
    <w:unhideWhenUsed/>
    <w:rsid w:val="006D50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6D5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2024-12-06T14:15:00Z</dcterms:created>
  <dcterms:modified xsi:type="dcterms:W3CDTF">2024-12-06T15:06:00Z</dcterms:modified>
</cp:coreProperties>
</file>