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6C" w:rsidRDefault="00F1706C" w:rsidP="00F1706C">
      <w:pPr>
        <w:jc w:val="right"/>
        <w:textAlignment w:val="baseline"/>
        <w:outlineLvl w:val="2"/>
        <w:rPr>
          <w:rFonts w:ascii="Times New Roman" w:hAnsi="Times New Roman"/>
          <w:b/>
          <w:bCs/>
          <w:color w:val="1E1E1E"/>
          <w:lang w:val="kk-KZ"/>
        </w:rPr>
      </w:pPr>
      <w:r>
        <w:rPr>
          <w:rFonts w:ascii="Times New Roman" w:hAnsi="Times New Roman"/>
          <w:b/>
          <w:bCs/>
          <w:color w:val="1E1E1E"/>
          <w:lang w:val="kk-KZ"/>
        </w:rPr>
        <w:t>Бекітемін</w:t>
      </w:r>
    </w:p>
    <w:p w:rsidR="00F1706C" w:rsidRDefault="00F1706C" w:rsidP="00F1706C">
      <w:pPr>
        <w:jc w:val="right"/>
        <w:textAlignment w:val="baseline"/>
        <w:outlineLvl w:val="2"/>
        <w:rPr>
          <w:rFonts w:ascii="Times New Roman" w:hAnsi="Times New Roman"/>
          <w:b/>
          <w:bCs/>
          <w:color w:val="1E1E1E"/>
          <w:lang w:val="kk-KZ"/>
        </w:rPr>
      </w:pPr>
      <w:r>
        <w:rPr>
          <w:rFonts w:ascii="Times New Roman" w:hAnsi="Times New Roman"/>
          <w:b/>
          <w:bCs/>
          <w:color w:val="1E1E1E"/>
          <w:lang w:val="kk-KZ"/>
        </w:rPr>
        <w:t>ШЖҚ «Райымбек аудандық ауруханасы» КМК</w:t>
      </w:r>
    </w:p>
    <w:p w:rsidR="00F1706C" w:rsidRDefault="00F1706C" w:rsidP="00F1706C">
      <w:pPr>
        <w:jc w:val="right"/>
        <w:textAlignment w:val="baseline"/>
        <w:outlineLvl w:val="2"/>
        <w:rPr>
          <w:rFonts w:ascii="Times New Roman" w:hAnsi="Times New Roman"/>
          <w:b/>
          <w:bCs/>
          <w:color w:val="1E1E1E"/>
          <w:lang w:val="kk-KZ"/>
        </w:rPr>
      </w:pPr>
      <w:r>
        <w:rPr>
          <w:rFonts w:ascii="Times New Roman" w:hAnsi="Times New Roman"/>
          <w:b/>
          <w:bCs/>
          <w:color w:val="1E1E1E"/>
          <w:lang w:val="kk-KZ"/>
        </w:rPr>
        <w:t>директоры</w:t>
      </w:r>
    </w:p>
    <w:p w:rsidR="00F1706C" w:rsidRDefault="00F1706C" w:rsidP="00F1706C">
      <w:pPr>
        <w:jc w:val="right"/>
        <w:textAlignment w:val="baseline"/>
        <w:outlineLvl w:val="2"/>
        <w:rPr>
          <w:rFonts w:ascii="Times New Roman" w:hAnsi="Times New Roman"/>
          <w:b/>
          <w:bCs/>
          <w:color w:val="1E1E1E"/>
          <w:lang w:val="kk-KZ"/>
        </w:rPr>
      </w:pPr>
      <w:r>
        <w:rPr>
          <w:rFonts w:ascii="Times New Roman" w:hAnsi="Times New Roman"/>
          <w:b/>
          <w:bCs/>
          <w:color w:val="1E1E1E"/>
          <w:lang w:val="kk-KZ"/>
        </w:rPr>
        <w:t xml:space="preserve">Куккузов Р.Е. </w:t>
      </w:r>
      <w:r>
        <w:rPr>
          <w:rFonts w:ascii="Times New Roman" w:hAnsi="Times New Roman"/>
          <w:b/>
          <w:bCs/>
          <w:color w:val="1E1E1E"/>
        </w:rPr>
        <w:t>_______________</w:t>
      </w:r>
      <w:r>
        <w:rPr>
          <w:rFonts w:ascii="Times New Roman" w:hAnsi="Times New Roman"/>
          <w:b/>
          <w:bCs/>
          <w:color w:val="1E1E1E"/>
          <w:lang w:val="kk-KZ"/>
        </w:rPr>
        <w:t xml:space="preserve"> </w:t>
      </w:r>
    </w:p>
    <w:p w:rsidR="00F1706C" w:rsidRDefault="00F1706C" w:rsidP="00F1706C">
      <w:pPr>
        <w:ind w:left="851"/>
        <w:jc w:val="right"/>
        <w:rPr>
          <w:rFonts w:ascii="Calibri" w:eastAsiaTheme="minorHAnsi" w:hAnsi="Calibri"/>
          <w:b/>
          <w:color w:val="auto"/>
          <w:lang w:val="kk-KZ" w:eastAsia="en-US"/>
        </w:rPr>
      </w:pPr>
      <w:r>
        <w:rPr>
          <w:rFonts w:ascii="Times New Roman" w:hAnsi="Times New Roman"/>
          <w:b/>
        </w:rPr>
        <w:t>«___»___________2024 ж</w:t>
      </w:r>
      <w:r>
        <w:rPr>
          <w:b/>
        </w:rPr>
        <w:t>.</w:t>
      </w:r>
      <w:r>
        <w:rPr>
          <w:b/>
          <w:lang w:val="kk-KZ"/>
        </w:rPr>
        <w:t xml:space="preserve"> </w:t>
      </w:r>
    </w:p>
    <w:p w:rsidR="00813FBC" w:rsidRDefault="00813FBC" w:rsidP="00813FBC">
      <w:pPr>
        <w:jc w:val="center"/>
        <w:rPr>
          <w:rFonts w:ascii="Times New Roman" w:eastAsia="MS Mincho" w:hAnsi="Times New Roman"/>
          <w:lang w:val="kk-KZ" w:eastAsia="ja-JP"/>
        </w:rPr>
      </w:pPr>
    </w:p>
    <w:p w:rsidR="00813FBC" w:rsidRPr="00813FBC" w:rsidRDefault="00813FBC" w:rsidP="00813FBC">
      <w:pPr>
        <w:jc w:val="center"/>
        <w:rPr>
          <w:rFonts w:ascii="Times New Roman" w:eastAsia="Times New Roman" w:hAnsi="Times New Roman"/>
          <w:b/>
          <w:bCs/>
          <w:lang w:val="kk-KZ" w:eastAsia="en-US"/>
        </w:rPr>
      </w:pPr>
      <w:r>
        <w:rPr>
          <w:rFonts w:ascii="Times New Roman" w:hAnsi="Times New Roman"/>
          <w:b/>
          <w:bCs/>
          <w:lang w:val="kk-KZ" w:eastAsia="en-US"/>
        </w:rPr>
        <w:t>Техникалық сипаттама</w:t>
      </w:r>
    </w:p>
    <w:p w:rsidR="00813FBC" w:rsidRDefault="00813FBC" w:rsidP="00813FBC">
      <w:pPr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</w:p>
    <w:tbl>
      <w:tblPr>
        <w:tblW w:w="151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682"/>
        <w:gridCol w:w="567"/>
        <w:gridCol w:w="2971"/>
        <w:gridCol w:w="4677"/>
        <w:gridCol w:w="1706"/>
      </w:tblGrid>
      <w:tr w:rsidR="00813FBC" w:rsidTr="00813FBC">
        <w:trPr>
          <w:trHeight w:val="409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BC" w:rsidRDefault="00813FBC">
            <w:pPr>
              <w:spacing w:line="256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BC" w:rsidRDefault="00813FB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BC" w:rsidRPr="00813FBC" w:rsidRDefault="00813FB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 w:eastAsia="en-US"/>
              </w:rPr>
              <w:t>Сипаттама</w:t>
            </w:r>
          </w:p>
        </w:tc>
      </w:tr>
      <w:tr w:rsidR="00813FBC" w:rsidTr="00813FBC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Default="00813FBC">
            <w:pPr>
              <w:tabs>
                <w:tab w:val="left" w:pos="45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Pr="008E1456" w:rsidRDefault="00813FBC" w:rsidP="008E145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</w:rPr>
            </w:pPr>
            <w:r w:rsidRPr="00813FBC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Медициналық құрал-жабдықтардың атауы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Pr="008E1456" w:rsidRDefault="00813FBC" w:rsidP="008E145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813FBC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Жарық диодты хирургиялық шам</w:t>
            </w:r>
          </w:p>
        </w:tc>
      </w:tr>
      <w:tr w:rsidR="00813FBC" w:rsidTr="00813FBC">
        <w:trPr>
          <w:trHeight w:val="611"/>
          <w:jc w:val="right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Default="00813FB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Pr="00813FBC" w:rsidRDefault="00813FBC" w:rsidP="00813FB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</w:rPr>
            </w:pPr>
            <w:r w:rsidRPr="00813FBC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Құрал-жабдықтарға қойылатын талаптар</w:t>
            </w:r>
          </w:p>
          <w:p w:rsidR="00813FBC" w:rsidRPr="00813FBC" w:rsidRDefault="00813FBC" w:rsidP="00813FBC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BC" w:rsidRPr="00813FBC" w:rsidRDefault="00813FBC" w:rsidP="00813FB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813FB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№</w:t>
            </w:r>
          </w:p>
          <w:p w:rsidR="00813FBC" w:rsidRPr="00813FBC" w:rsidRDefault="00813FBC" w:rsidP="00813FB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13FB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813FB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813FB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BC" w:rsidRPr="00813FBC" w:rsidRDefault="00813FBC" w:rsidP="00813FB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813F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3FBC">
              <w:rPr>
                <w:rFonts w:ascii="Times New Roman" w:hAnsi="Times New Roman" w:cs="Times New Roman"/>
                <w:i/>
                <w:color w:val="1F1F1F"/>
                <w:sz w:val="20"/>
                <w:szCs w:val="20"/>
                <w:shd w:val="clear" w:color="auto" w:fill="F8F9FA"/>
              </w:rPr>
              <w:t>Медициналық жабдықтың құрамдас бө</w:t>
            </w:r>
            <w:proofErr w:type="gramStart"/>
            <w:r w:rsidRPr="00813FBC">
              <w:rPr>
                <w:rFonts w:ascii="Times New Roman" w:hAnsi="Times New Roman" w:cs="Times New Roman"/>
                <w:i/>
                <w:color w:val="1F1F1F"/>
                <w:sz w:val="20"/>
                <w:szCs w:val="20"/>
                <w:shd w:val="clear" w:color="auto" w:fill="F8F9FA"/>
              </w:rPr>
              <w:t>л</w:t>
            </w:r>
            <w:proofErr w:type="gramEnd"/>
            <w:r w:rsidRPr="00813FBC">
              <w:rPr>
                <w:rFonts w:ascii="Times New Roman" w:hAnsi="Times New Roman" w:cs="Times New Roman"/>
                <w:i/>
                <w:color w:val="1F1F1F"/>
                <w:sz w:val="20"/>
                <w:szCs w:val="20"/>
                <w:shd w:val="clear" w:color="auto" w:fill="F8F9FA"/>
              </w:rPr>
              <w:t xml:space="preserve">ігінің </w:t>
            </w:r>
            <w:proofErr w:type="spellStart"/>
            <w:r w:rsidRPr="00813FBC">
              <w:rPr>
                <w:rFonts w:ascii="Times New Roman" w:hAnsi="Times New Roman" w:cs="Times New Roman"/>
                <w:i/>
                <w:color w:val="1F1F1F"/>
                <w:sz w:val="20"/>
                <w:szCs w:val="20"/>
                <w:shd w:val="clear" w:color="auto" w:fill="F8F9FA"/>
              </w:rPr>
              <w:t>атауы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BC" w:rsidRPr="00813FBC" w:rsidRDefault="00813FBC" w:rsidP="00813FB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813F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3FBC">
              <w:rPr>
                <w:rFonts w:ascii="Times New Roman" w:hAnsi="Times New Roman" w:cs="Times New Roman"/>
                <w:i/>
                <w:color w:val="1F1F1F"/>
                <w:sz w:val="20"/>
                <w:szCs w:val="20"/>
                <w:shd w:val="clear" w:color="auto" w:fill="F8F9FA"/>
              </w:rPr>
              <w:t>Медициналық техниканың құрамдас бө</w:t>
            </w:r>
            <w:proofErr w:type="gramStart"/>
            <w:r w:rsidRPr="00813FBC">
              <w:rPr>
                <w:rFonts w:ascii="Times New Roman" w:hAnsi="Times New Roman" w:cs="Times New Roman"/>
                <w:i/>
                <w:color w:val="1F1F1F"/>
                <w:sz w:val="20"/>
                <w:szCs w:val="20"/>
                <w:shd w:val="clear" w:color="auto" w:fill="F8F9FA"/>
              </w:rPr>
              <w:t>л</w:t>
            </w:r>
            <w:proofErr w:type="gramEnd"/>
            <w:r w:rsidRPr="00813FBC">
              <w:rPr>
                <w:rFonts w:ascii="Times New Roman" w:hAnsi="Times New Roman" w:cs="Times New Roman"/>
                <w:i/>
                <w:color w:val="1F1F1F"/>
                <w:sz w:val="20"/>
                <w:szCs w:val="20"/>
                <w:shd w:val="clear" w:color="auto" w:fill="F8F9FA"/>
              </w:rPr>
              <w:t xml:space="preserve">іктерінің техникалық </w:t>
            </w:r>
            <w:proofErr w:type="spellStart"/>
            <w:r w:rsidRPr="00813FBC">
              <w:rPr>
                <w:rFonts w:ascii="Times New Roman" w:hAnsi="Times New Roman" w:cs="Times New Roman"/>
                <w:i/>
                <w:color w:val="1F1F1F"/>
                <w:sz w:val="20"/>
                <w:szCs w:val="20"/>
                <w:shd w:val="clear" w:color="auto" w:fill="F8F9FA"/>
              </w:rPr>
              <w:t>сипаттамалары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BC" w:rsidRPr="00813FBC" w:rsidRDefault="00813FBC" w:rsidP="00813FBC">
            <w:pPr>
              <w:pStyle w:val="HTML"/>
              <w:shd w:val="clear" w:color="auto" w:fill="F8F9FA"/>
              <w:rPr>
                <w:rFonts w:ascii="Times New Roman" w:hAnsi="Times New Roman" w:cs="Times New Roman"/>
                <w:i/>
                <w:color w:val="1F1F1F"/>
              </w:rPr>
            </w:pPr>
            <w:r w:rsidRPr="00813FBC">
              <w:rPr>
                <w:rStyle w:val="y2iqfc"/>
                <w:rFonts w:ascii="Times New Roman" w:hAnsi="Times New Roman" w:cs="Times New Roman"/>
                <w:i/>
                <w:color w:val="1F1F1F"/>
                <w:lang w:val="kk-KZ"/>
              </w:rPr>
              <w:t>Қажетті мөлшер (өлшем бірлігін көрсете отырып)</w:t>
            </w:r>
          </w:p>
          <w:p w:rsidR="00813FBC" w:rsidRPr="00813FBC" w:rsidRDefault="00813FBC" w:rsidP="00813FB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813FBC" w:rsidTr="00813FBC">
        <w:trPr>
          <w:trHeight w:val="141"/>
          <w:jc w:val="right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BC" w:rsidRDefault="00813FBC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BC" w:rsidRPr="00813FBC" w:rsidRDefault="00813FBC" w:rsidP="00813F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Pr="00813FBC" w:rsidRDefault="00813FBC" w:rsidP="00813FB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</w:rPr>
            </w:pPr>
            <w:r w:rsidRPr="00813FBC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Негізгі компоненттер:</w:t>
            </w:r>
          </w:p>
          <w:p w:rsidR="00813FBC" w:rsidRPr="00813FBC" w:rsidRDefault="00813FBC" w:rsidP="00813FB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813FBC" w:rsidTr="00813FBC">
        <w:trPr>
          <w:trHeight w:val="141"/>
          <w:jc w:val="right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BC" w:rsidRDefault="00813FBC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BC" w:rsidRPr="00813FBC" w:rsidRDefault="00813FBC" w:rsidP="00813F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BC" w:rsidRPr="00813FBC" w:rsidRDefault="00813FBC" w:rsidP="00813FB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BC" w:rsidRPr="00813FBC" w:rsidRDefault="00813FBC" w:rsidP="0034506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1F1F1F"/>
                <w:sz w:val="20"/>
                <w:szCs w:val="20"/>
              </w:rPr>
            </w:pPr>
            <w:r w:rsidRPr="00345066">
              <w:rPr>
                <w:rFonts w:ascii="Times New Roman" w:eastAsia="Times New Roman" w:hAnsi="Times New Roman" w:cs="Times New Roman"/>
                <w:b/>
                <w:color w:val="1F1F1F"/>
                <w:sz w:val="20"/>
                <w:szCs w:val="20"/>
                <w:lang w:val="kk-KZ"/>
              </w:rPr>
              <w:t>Жарық диодты хирургиялық шам</w:t>
            </w:r>
          </w:p>
          <w:p w:rsidR="00813FBC" w:rsidRPr="00813FBC" w:rsidRDefault="00813FBC" w:rsidP="00813FB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Pr="00813FBC" w:rsidRDefault="00813FBC" w:rsidP="00813FB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Хирургиялық жарықтандыру қондырғысы, жарықдиодты (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мобильді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ұсқа). Бі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қабатты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мобильді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хирургиялық жарықдиодты жарықтандыру қондырғысы –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Жарық көзі – жарықдиодты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элементтер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Аз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инвазивті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хирургияға арналған жарықтандыру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режимі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Жарықдиодтардың лампа күмбезінде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блогын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орналастыру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жүйесінің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болмауы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. Әрбі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жарықдиодты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элементті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ауыстыру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мүмкіндігі (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бірнеше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жарықдиодтан тұратын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блокпен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Жарықтандыру қондырғысының қолды қосқыштарының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байланыста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айналу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мүмкіндігі –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Жарықтандыру қондырғысының қолын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айналдыру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мүмкіндігі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299 градус. Күмбездің айналуының мүмкіндігі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299 градус. Күмбездің тұ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қасын көтеру бұрышы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45 градус. Күмбездің тұ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қасын түсіру бұрышы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45 градус. Күмбез тұ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қасын оңға/солға бұру бұрышы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30 градус. Жарықтандыру қондырғысының күмбезі: Жарықтандыру </w:t>
            </w:r>
            <w:r w:rsidRPr="00813F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қондырғысын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орналастыру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үшін орталық тұ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қасы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алынбайтын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Алынатын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стерильденетін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орталық тұтқасы –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опционалды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Күмбездегі жарықтандыру қондырғысын басқару түймелері –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Жарық көзі – жарықдиодтар. Жарықтандыру күмбезінің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сипаттамалары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: Жарықтандырудың орталық жарықтығы 1 м қашықтықтан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69 999 Люкс. Жарық аймағының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диаметрі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(d10),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170 мм. Жарықтандыру тереңді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і (20%),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1500 мм. Жарықтандыру тереңді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і (60%),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700 мм. Түс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температурасы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4350 К. Тү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с қайта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шығарудың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индексі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96. Тү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с қайта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шығарудың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индексі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(R9),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96. Жарықтық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реттеу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диапазоны,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10%-дан 100%-ға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Жарықтықты реттеудің деңгейлері,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5.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жарықтандыру,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250 Вт/м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Жарық тығыздығы,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3,6 мВт/(м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∙лк). Күмбез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биіктігін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реттеу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диапазоны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895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мм-ден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2160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мм-ге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Жұмыс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істейтін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дөңгелекті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тірек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4 дөңгелек. Ә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дөңгелекте тежегіштің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LED шамдарының қызмет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60 000 сағат.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Максималды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тұтынылатын қуат,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28 Вт. Күмбездің механикалық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сипаттамалары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: Күмбездің өлшемі,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230 мм*330 мм. Жарықтандыру блогының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массасы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3 кг. Жарықтандыру қондырғысының салмағы,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25 кг.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Негіз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тірегінің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биіктігі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1590 мм.</w:t>
            </w:r>
            <w:r w:rsidRPr="00813F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Стерильденетін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күмбез тұ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қасы,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2 дана –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BC" w:rsidRPr="00813FBC" w:rsidRDefault="00345066" w:rsidP="00813F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дана</w:t>
            </w:r>
            <w:r w:rsidR="00813FBC" w:rsidRPr="00813F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813FBC" w:rsidTr="00813FBC">
        <w:trPr>
          <w:trHeight w:val="141"/>
          <w:jc w:val="right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BC" w:rsidRDefault="00813FBC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BC" w:rsidRPr="00813FBC" w:rsidRDefault="00813FBC" w:rsidP="00813F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Pr="00345066" w:rsidRDefault="00813FBC" w:rsidP="0034506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</w:rPr>
            </w:pPr>
            <w:r w:rsidRPr="00345066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Шығын материалдары мен тозу бөлшектері:</w:t>
            </w:r>
          </w:p>
        </w:tc>
      </w:tr>
      <w:tr w:rsidR="00813FBC" w:rsidTr="00813FBC">
        <w:trPr>
          <w:trHeight w:val="141"/>
          <w:jc w:val="right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BC" w:rsidRDefault="00813FBC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BC" w:rsidRPr="00813FBC" w:rsidRDefault="00813FBC" w:rsidP="00813F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BC" w:rsidRPr="00813FBC" w:rsidRDefault="00813FBC" w:rsidP="00813FB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BC" w:rsidRPr="00345066" w:rsidRDefault="00813FBC" w:rsidP="0034506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813FBC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Батарея модулі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Pr="00813FBC" w:rsidRDefault="00813FBC" w:rsidP="00813FB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13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Аккумуляторная батарея - наличие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BC" w:rsidRPr="00813FBC" w:rsidRDefault="00345066" w:rsidP="00813F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>дана</w:t>
            </w:r>
            <w:r w:rsidR="00813FBC" w:rsidRPr="00813F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813FBC" w:rsidTr="00813FBC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Default="00813FBC">
            <w:pPr>
              <w:tabs>
                <w:tab w:val="left" w:pos="45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Pr="00345066" w:rsidRDefault="00813FBC" w:rsidP="00813F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13F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45066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8F9FA"/>
              </w:rPr>
              <w:t>Ж</w:t>
            </w:r>
            <w:proofErr w:type="gramEnd"/>
            <w:r w:rsidRPr="00345066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8F9FA"/>
              </w:rPr>
              <w:t xml:space="preserve">ұмыс жағдайларына қойылатын </w:t>
            </w:r>
            <w:proofErr w:type="spellStart"/>
            <w:r w:rsidRPr="00345066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8F9FA"/>
              </w:rPr>
              <w:t>талаптар</w:t>
            </w:r>
            <w:proofErr w:type="spellEnd"/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Pr="00813FBC" w:rsidRDefault="00813FBC" w:rsidP="00813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Жабдық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орнатылатын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бөлмеге қойылатын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талаптар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:rsidR="00813FBC" w:rsidRPr="00813FBC" w:rsidRDefault="00813FBC" w:rsidP="00813FB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  <w:proofErr w:type="gram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өлме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ауданы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 м²;</w:t>
            </w:r>
          </w:p>
          <w:p w:rsidR="00813FBC" w:rsidRPr="00813FBC" w:rsidRDefault="00813FBC" w:rsidP="00813FB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</w:t>
            </w:r>
            <w:proofErr w:type="gram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үйенің оңтайлы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пайдалану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шарттары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:rsidR="00813FBC" w:rsidRPr="00813FBC" w:rsidRDefault="00813FBC" w:rsidP="00813FBC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Қоршаған температура: 20~30°C</w:t>
            </w:r>
          </w:p>
          <w:p w:rsidR="00813FBC" w:rsidRPr="00813FBC" w:rsidRDefault="00813FBC" w:rsidP="00813FBC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Ылғалдылық: 30~75%</w:t>
            </w:r>
          </w:p>
          <w:p w:rsidR="00813FBC" w:rsidRPr="00813FBC" w:rsidRDefault="00813FBC" w:rsidP="00813FBC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Атмосфералық қысым: 70~106 кПа</w:t>
            </w:r>
          </w:p>
          <w:p w:rsidR="00813FBC" w:rsidRPr="00813FBC" w:rsidRDefault="00813FBC" w:rsidP="00813FBC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Электрмен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жабдықтау: 200-240</w:t>
            </w:r>
            <w:proofErr w:type="gram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813FBC" w:rsidTr="00813FBC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Default="00813FBC">
            <w:pPr>
              <w:tabs>
                <w:tab w:val="left" w:pos="45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Pr="00345066" w:rsidRDefault="00813FBC" w:rsidP="00813FBC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</w:pPr>
            <w:r w:rsidRPr="00345066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Жеткізу шарттары</w:t>
            </w:r>
          </w:p>
          <w:p w:rsidR="00813FBC" w:rsidRPr="00813FBC" w:rsidRDefault="00813FBC" w:rsidP="00813FB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345066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медициналық жабдықтар (ИНКОТЕРМС 2020</w:t>
            </w:r>
            <w:r w:rsidRPr="00813FBC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 </w:t>
            </w:r>
            <w:r w:rsidRPr="00345066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сәйкес)</w:t>
            </w:r>
          </w:p>
          <w:p w:rsidR="00813FBC" w:rsidRPr="00813FBC" w:rsidRDefault="00813FBC" w:rsidP="00813F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BC" w:rsidRPr="00813FBC" w:rsidRDefault="00813FBC" w:rsidP="00813FB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813FBC">
              <w:rPr>
                <w:rFonts w:ascii="Times New Roman" w:hAnsi="Times New Roman" w:cs="Times New Roman"/>
                <w:lang w:eastAsia="zh-CN"/>
              </w:rPr>
              <w:t xml:space="preserve">DDP  </w:t>
            </w:r>
            <w:r w:rsidRPr="00813FBC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Алматы облысы, Райымбек ауданы, Нарынқол ауылы, Албан-Асан көшесі No1</w:t>
            </w:r>
          </w:p>
          <w:p w:rsidR="00813FBC" w:rsidRPr="00813FBC" w:rsidRDefault="00813FBC" w:rsidP="00813F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13FBC" w:rsidTr="00813FBC">
        <w:trPr>
          <w:trHeight w:val="4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Default="00813FBC">
            <w:pPr>
              <w:tabs>
                <w:tab w:val="left" w:pos="45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Pr="00345066" w:rsidRDefault="00813FBC" w:rsidP="00813FBC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</w:pPr>
            <w:r w:rsidRPr="00345066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Медициналық құрал-жабдықтарды жеткізу мерзімі және</w:t>
            </w:r>
          </w:p>
          <w:p w:rsidR="00813FBC" w:rsidRPr="00345066" w:rsidRDefault="00813FBC" w:rsidP="0034506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</w:rPr>
            </w:pPr>
            <w:r w:rsidRPr="00345066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орналасуы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BC" w:rsidRPr="00813FBC" w:rsidRDefault="00813FBC" w:rsidP="00813FB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813FBC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2024 жылғы 31 желтоқсаннан кешіктірмей 15 күнтізбелік күн</w:t>
            </w:r>
          </w:p>
          <w:p w:rsidR="00813FBC" w:rsidRPr="00813FBC" w:rsidRDefault="00813FBC" w:rsidP="00345066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</w:tr>
      <w:tr w:rsidR="00813FBC" w:rsidTr="00813FBC">
        <w:trPr>
          <w:trHeight w:val="136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Default="00813FB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Pr="00345066" w:rsidRDefault="00813FBC" w:rsidP="00813FB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</w:rPr>
            </w:pPr>
            <w:r w:rsidRPr="00345066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Жеткізушінің, оның Қазақстан Республикасындағы қызмет көрсету орталықтарының немесе үшінші құзыретті тұлғаларды тарта отырып, медициналық техникаға кепілдік қызмет көрсету шарттары</w:t>
            </w:r>
          </w:p>
          <w:p w:rsidR="00813FBC" w:rsidRPr="00813FBC" w:rsidRDefault="00813FBC" w:rsidP="00813F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Pr="00813FBC" w:rsidRDefault="00813FBC" w:rsidP="00813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Медициналық техниканың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кепілдік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қызмет көрсету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мерзі</w:t>
            </w:r>
            <w:proofErr w:type="gram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</w:t>
            </w:r>
            <w:proofErr w:type="gram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і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37 ай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болуы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тиіс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Жоспарлы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техникалық қызмет көрсету әр тоқсанда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бір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рет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жүргізілуі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керек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Техникалық қызмет көрсету жұмыстары эксплуатациялық құжаттамада көрсетілген талаптарға сәйкес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орындалып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келесі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жұмыстарды қамтуы </w:t>
            </w:r>
            <w:proofErr w:type="spellStart"/>
            <w:proofErr w:type="gram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тиіс</w:t>
            </w:r>
            <w:proofErr w:type="spellEnd"/>
            <w:proofErr w:type="gram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:rsidR="00813FBC" w:rsidRPr="00813FBC" w:rsidRDefault="00813FBC" w:rsidP="00813FB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Ресурсы таусылған құрамдас бө</w:t>
            </w:r>
            <w:proofErr w:type="gram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</w:t>
            </w:r>
            <w:proofErr w:type="gram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іктерді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ауыстыру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813FBC" w:rsidRPr="00813FBC" w:rsidRDefault="00813FBC" w:rsidP="00813FB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Медициналық техниканың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жекелеген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бө</w:t>
            </w:r>
            <w:proofErr w:type="gram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</w:t>
            </w:r>
            <w:proofErr w:type="gram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іктерін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ауыстыру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немесе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қалпына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келтіру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813FBC" w:rsidRPr="00813FBC" w:rsidRDefault="00813FBC" w:rsidP="00813FB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Медициналық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техниканы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баптау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және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реттеу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; осы техниканың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ерекшеліктеріне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байланысты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жұмыстар және </w:t>
            </w:r>
            <w:proofErr w:type="gram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т.б</w:t>
            </w:r>
            <w:proofErr w:type="gram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.;</w:t>
            </w:r>
          </w:p>
          <w:p w:rsidR="00813FBC" w:rsidRPr="00813FBC" w:rsidRDefault="00813FBC" w:rsidP="00813FB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Негізгі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механизмдер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мен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тораптарды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тазалау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майлау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және қажет болған жағдайда қайта жинақтау;</w:t>
            </w:r>
          </w:p>
          <w:p w:rsidR="00813FBC" w:rsidRPr="00813FBC" w:rsidRDefault="00813FBC" w:rsidP="00813FB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Медициналық техниканың сыртқы және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ішкі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беттерінен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шаңды,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кірді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коррозия мен тоттың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іздерін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алып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тастау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блоктар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мен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тораптарды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жартылай</w:t>
            </w:r>
            <w:proofErr w:type="spellEnd"/>
            <w:r w:rsidRPr="00813F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бөлшектеу арқылы).</w:t>
            </w:r>
          </w:p>
          <w:p w:rsidR="00813FBC" w:rsidRPr="00345066" w:rsidRDefault="00813FBC" w:rsidP="0034506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813FBC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- пайдалану құжаттамасында көрсетілген медициналық техниканың белгілі бір түріне тән басқа операциялар.</w:t>
            </w:r>
          </w:p>
        </w:tc>
      </w:tr>
      <w:tr w:rsidR="00813FBC" w:rsidTr="00813FBC">
        <w:trPr>
          <w:trHeight w:val="136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Default="00813FB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Pr="00345066" w:rsidRDefault="00813FBC" w:rsidP="00813FB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</w:rPr>
            </w:pPr>
            <w:r w:rsidRPr="00345066">
              <w:rPr>
                <w:rStyle w:val="y2iqfc"/>
                <w:rFonts w:ascii="Times New Roman" w:hAnsi="Times New Roman" w:cs="Times New Roman"/>
                <w:b/>
                <w:color w:val="1F1F1F"/>
                <w:lang w:val="kk-KZ"/>
              </w:rPr>
              <w:t>Қатысты қызметтерге қойылатын талаптар</w:t>
            </w:r>
          </w:p>
          <w:p w:rsidR="00813FBC" w:rsidRPr="00813FBC" w:rsidRDefault="00813FBC" w:rsidP="00813F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BC" w:rsidRPr="00813FBC" w:rsidRDefault="00813FBC" w:rsidP="00813FB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Әрбі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жиынтығы техникалық және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құжаттамасымен қамтамасыз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етіледі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, оның мазмұны қазақ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орыс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тілдеріне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аударылған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Тауарларды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сату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Қазақстан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заңнамасына сәйкес жүзеге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асырылады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Жеткізу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жиынтығы әрбі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тармақ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(жиынтық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жабдықтың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) тауардың нақты техникалық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сипаттамалары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мен толық жинақтамасы көрсетіліп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сипатталады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Техникалық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сипаттамада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басқаша көрсетілмеген жағдайда,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қуаты 220 Вольт, қосымша ауыстырғыштар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трансформаторларсыз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беріледі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Құрылғылармен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бірге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жеткізілетін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бағдарламалық қамтамасыз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Заказчиктің орнатылған жабдығымен үйлесімді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Жеткізуші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тауарды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жеткізу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процесін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білікті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мамандармен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қамтамасыз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жеткізілгенде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Жеткізуші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Заказчикке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тауардың бағдарламалық қамтамасыз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етуі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қол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жеткізу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үшін барлық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сервис-кодтарды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13F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Өлшем құралдарына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жататын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тауарлар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Қазақстан Республикасының өлшем құралдарының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реестріне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енгізілуі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Құрылғыны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орнатудан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40 (қырық) күн бұрын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Жеткізуші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Заказчикке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жабдықты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қосу үшін қажетті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хабарлайды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Күрделі монтаждық жұмыстарды және бөлмені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дайындауды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қажет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етпейтін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жабдықтар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стандартты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есік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өткелдерінен (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ені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80 см,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биіктігі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200 см) өтуі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. Жабдықты жұмыс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орнына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жеткізу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, түсіру, қаптамасын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ашу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орнату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баптау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және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қосу, оның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сипаттамаларын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осы құжат пен фирманың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спецификациясына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(дәлдік, сезімталдық, өнімділік және басқа) сәйкестігін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, медициналық (қолдану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оқыту) және техникалық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персоналды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қызмет көрсету деңгейі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оқыту және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құжат беру) оқыту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Жеткізуші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тарапынан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жүзеге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асырылады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егер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тиі</w:t>
            </w:r>
            <w:proofErr w:type="gram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мамандар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штатта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болмаса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, өндіруші өкілдерін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тарта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813F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13FBC" w:rsidRDefault="00813FBC" w:rsidP="00813FBC">
      <w:pPr>
        <w:ind w:left="142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813FBC" w:rsidRPr="00813FBC" w:rsidRDefault="00813FBC" w:rsidP="00813FB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lastRenderedPageBreak/>
        <w:t>Тендерлік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комиссияның төрағасы: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Емдеу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бөлімі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бойынша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директор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орынбасары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- Әуелхан Е.Б. ______________;</w:t>
      </w:r>
    </w:p>
    <w:p w:rsidR="00813FBC" w:rsidRPr="00813FBC" w:rsidRDefault="00813FBC" w:rsidP="00813FB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813FBC">
        <w:rPr>
          <w:rFonts w:ascii="Times New Roman" w:eastAsia="Times New Roman" w:hAnsi="Times New Roman" w:cs="Times New Roman"/>
          <w:color w:val="auto"/>
        </w:rPr>
        <w:t>Тө</w:t>
      </w:r>
      <w:proofErr w:type="gramStart"/>
      <w:r w:rsidRPr="00813FBC">
        <w:rPr>
          <w:rFonts w:ascii="Times New Roman" w:eastAsia="Times New Roman" w:hAnsi="Times New Roman" w:cs="Times New Roman"/>
          <w:color w:val="auto"/>
        </w:rPr>
        <w:t>ра</w:t>
      </w:r>
      <w:proofErr w:type="gramEnd"/>
      <w:r w:rsidRPr="00813FBC">
        <w:rPr>
          <w:rFonts w:ascii="Times New Roman" w:eastAsia="Times New Roman" w:hAnsi="Times New Roman" w:cs="Times New Roman"/>
          <w:color w:val="auto"/>
        </w:rPr>
        <w:t xml:space="preserve">ға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орынбасары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: Медициналық қызмет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сапасы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және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ішкі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аудит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бойынша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директор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орынбасары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-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Аубакирова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Турсынкул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Бериковна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_______________;</w:t>
      </w:r>
    </w:p>
    <w:p w:rsidR="00813FBC" w:rsidRPr="00813FBC" w:rsidRDefault="00813FBC" w:rsidP="00813FB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813FBC">
        <w:rPr>
          <w:rFonts w:ascii="Times New Roman" w:eastAsia="Times New Roman" w:hAnsi="Times New Roman" w:cs="Times New Roman"/>
          <w:color w:val="auto"/>
        </w:rPr>
        <w:t xml:space="preserve">Комиссия </w:t>
      </w:r>
      <w:proofErr w:type="gramStart"/>
      <w:r w:rsidRPr="00813FBC">
        <w:rPr>
          <w:rFonts w:ascii="Times New Roman" w:eastAsia="Times New Roman" w:hAnsi="Times New Roman" w:cs="Times New Roman"/>
          <w:color w:val="auto"/>
        </w:rPr>
        <w:t>м</w:t>
      </w:r>
      <w:proofErr w:type="gramEnd"/>
      <w:r w:rsidRPr="00813FBC">
        <w:rPr>
          <w:rFonts w:ascii="Times New Roman" w:eastAsia="Times New Roman" w:hAnsi="Times New Roman" w:cs="Times New Roman"/>
          <w:color w:val="auto"/>
        </w:rPr>
        <w:t>үшелері:</w:t>
      </w:r>
      <w:r w:rsidRPr="00813FBC">
        <w:rPr>
          <w:rFonts w:ascii="Times New Roman" w:eastAsia="Times New Roman" w:hAnsi="Times New Roman" w:cs="Times New Roman"/>
          <w:color w:val="auto"/>
        </w:rPr>
        <w:br/>
        <w:t xml:space="preserve">• Хирургия бөлімінің меңгерушісі –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Таласбаев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И.К. ______________;</w:t>
      </w:r>
      <w:r w:rsidRPr="00813FBC">
        <w:rPr>
          <w:rFonts w:ascii="Times New Roman" w:eastAsia="Times New Roman" w:hAnsi="Times New Roman" w:cs="Times New Roman"/>
          <w:color w:val="auto"/>
        </w:rPr>
        <w:br/>
        <w:t xml:space="preserve">• Туған бөлімінің меңгерушісі –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Ботбаева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Н.А. ______________;</w:t>
      </w:r>
      <w:r w:rsidRPr="00813FBC">
        <w:rPr>
          <w:rFonts w:ascii="Times New Roman" w:eastAsia="Times New Roman" w:hAnsi="Times New Roman" w:cs="Times New Roman"/>
          <w:color w:val="auto"/>
        </w:rPr>
        <w:br/>
        <w:t>• Реаниматолог дә</w:t>
      </w:r>
      <w:proofErr w:type="gramStart"/>
      <w:r w:rsidRPr="00813FBC">
        <w:rPr>
          <w:rFonts w:ascii="Times New Roman" w:eastAsia="Times New Roman" w:hAnsi="Times New Roman" w:cs="Times New Roman"/>
          <w:color w:val="auto"/>
        </w:rPr>
        <w:t>р</w:t>
      </w:r>
      <w:proofErr w:type="gramEnd"/>
      <w:r w:rsidRPr="00813FBC">
        <w:rPr>
          <w:rFonts w:ascii="Times New Roman" w:eastAsia="Times New Roman" w:hAnsi="Times New Roman" w:cs="Times New Roman"/>
          <w:color w:val="auto"/>
        </w:rPr>
        <w:t xml:space="preserve">ігер –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Шынжырбаев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Д.Г. ______________;</w:t>
      </w:r>
      <w:r w:rsidRPr="00813FBC">
        <w:rPr>
          <w:rFonts w:ascii="Times New Roman" w:eastAsia="Times New Roman" w:hAnsi="Times New Roman" w:cs="Times New Roman"/>
          <w:color w:val="auto"/>
        </w:rPr>
        <w:br/>
        <w:t xml:space="preserve">•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Балалар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бөлімінің меңгерушісі –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Мамытова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А.А. ______________;</w:t>
      </w:r>
      <w:r w:rsidRPr="00813FBC">
        <w:rPr>
          <w:rFonts w:ascii="Times New Roman" w:eastAsia="Times New Roman" w:hAnsi="Times New Roman" w:cs="Times New Roman"/>
          <w:color w:val="auto"/>
        </w:rPr>
        <w:br/>
        <w:t xml:space="preserve">• Экономист –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Бейсегеримов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Б.М. ______________;</w:t>
      </w:r>
      <w:r w:rsidRPr="00813FBC">
        <w:rPr>
          <w:rFonts w:ascii="Times New Roman" w:eastAsia="Times New Roman" w:hAnsi="Times New Roman" w:cs="Times New Roman"/>
          <w:color w:val="auto"/>
        </w:rPr>
        <w:br/>
        <w:t xml:space="preserve">• Юрист –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Амангелдиев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Е.А. ______________;</w:t>
      </w:r>
      <w:r w:rsidRPr="00813FBC">
        <w:rPr>
          <w:rFonts w:ascii="Times New Roman" w:eastAsia="Times New Roman" w:hAnsi="Times New Roman" w:cs="Times New Roman"/>
          <w:color w:val="auto"/>
        </w:rPr>
        <w:br/>
        <w:t xml:space="preserve">• Бас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медбике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Исамолда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А.С. ______________;</w:t>
      </w:r>
      <w:r w:rsidRPr="00813FBC">
        <w:rPr>
          <w:rFonts w:ascii="Times New Roman" w:eastAsia="Times New Roman" w:hAnsi="Times New Roman" w:cs="Times New Roman"/>
          <w:color w:val="auto"/>
        </w:rPr>
        <w:br/>
        <w:t xml:space="preserve">• Бас бухгалтер –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Кишибаева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Н.Т. ______________;</w:t>
      </w:r>
    </w:p>
    <w:p w:rsidR="00813FBC" w:rsidRPr="00813FBC" w:rsidRDefault="00813FBC" w:rsidP="00813FB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Хатшы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 w:rsidRPr="00813FBC">
        <w:rPr>
          <w:rFonts w:ascii="Times New Roman" w:eastAsia="Times New Roman" w:hAnsi="Times New Roman" w:cs="Times New Roman"/>
          <w:color w:val="auto"/>
        </w:rPr>
        <w:t>Амангелдиев</w:t>
      </w:r>
      <w:proofErr w:type="spellEnd"/>
      <w:r w:rsidRPr="00813FBC">
        <w:rPr>
          <w:rFonts w:ascii="Times New Roman" w:eastAsia="Times New Roman" w:hAnsi="Times New Roman" w:cs="Times New Roman"/>
          <w:color w:val="auto"/>
        </w:rPr>
        <w:t xml:space="preserve"> Е.А. ______________.</w:t>
      </w:r>
    </w:p>
    <w:p w:rsidR="00813FBC" w:rsidRDefault="00813FBC" w:rsidP="00813FBC">
      <w:pPr>
        <w:ind w:left="142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3965B1" w:rsidRDefault="003965B1"/>
    <w:sectPr w:rsidR="003965B1" w:rsidSect="00813FBC">
      <w:pgSz w:w="16838" w:h="11906" w:orient="landscape"/>
      <w:pgMar w:top="1134" w:right="1134" w:bottom="850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76A"/>
    <w:multiLevelType w:val="hybridMultilevel"/>
    <w:tmpl w:val="3EB400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A1881"/>
    <w:multiLevelType w:val="multilevel"/>
    <w:tmpl w:val="A714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05944"/>
    <w:multiLevelType w:val="multilevel"/>
    <w:tmpl w:val="8394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A2BF7"/>
    <w:multiLevelType w:val="multilevel"/>
    <w:tmpl w:val="C436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3FBC"/>
    <w:rsid w:val="001B5205"/>
    <w:rsid w:val="00345066"/>
    <w:rsid w:val="003965B1"/>
    <w:rsid w:val="00813FBC"/>
    <w:rsid w:val="00840229"/>
    <w:rsid w:val="008E1456"/>
    <w:rsid w:val="00C14E9A"/>
    <w:rsid w:val="00E34801"/>
    <w:rsid w:val="00F1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Мой Знак"/>
    <w:link w:val="a4"/>
    <w:uiPriority w:val="1"/>
    <w:locked/>
    <w:rsid w:val="00813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Мой"/>
    <w:link w:val="a3"/>
    <w:uiPriority w:val="1"/>
    <w:qFormat/>
    <w:rsid w:val="00813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3FBC"/>
    <w:pPr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13F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TML">
    <w:name w:val="HTML Preformatted"/>
    <w:basedOn w:val="a"/>
    <w:link w:val="HTML0"/>
    <w:uiPriority w:val="99"/>
    <w:unhideWhenUsed/>
    <w:rsid w:val="00813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3F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13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0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5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70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2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81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2024-12-06T14:49:00Z</dcterms:created>
  <dcterms:modified xsi:type="dcterms:W3CDTF">2024-12-06T15:08:00Z</dcterms:modified>
</cp:coreProperties>
</file>